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9"/>
          <w:kern w:val="2"/>
          <w:sz w:val="36"/>
          <w:szCs w:val="36"/>
        </w:rPr>
      </w:pPr>
      <w:r>
        <w:rPr>
          <w:rFonts w:hint="eastAsia" w:ascii="黑体" w:hAnsi="黑体" w:eastAsia="黑体" w:cs="方正小标宋简体"/>
          <w:w w:val="99"/>
          <w:kern w:val="2"/>
          <w:sz w:val="36"/>
          <w:szCs w:val="36"/>
        </w:rPr>
        <w:t>中国农业科学院兰州兽医研究所博士后申请类别及待遇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一、应用研究类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1.掌握核心关键技术、可协助团队在 3-5 年内获二类以上新兽药证书，在站期间由本人完成新兽药注册的实验室主要工作，产品具有巨大的市场前景者，年薪 60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2.掌握核心关键技术、可协助团队在 3-5 年内获三类新兽药证书，在站期间由本人完成新兽药注册的实验室主要工作，产品具有巨大的市场前景者，年薪 50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3.掌握核心关键技术、可协助团队在 3-5 年内获三类新兽药证书，在站期间由本人完成新兽药注册的实验室主要工作，产品具有较好的市场前景，年薪 45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4.掌握团队在应用研究工作中急需的关键技术，在站期间由本人完成实验室的相关工作，可在短期内推动团队的应用研究进展，年薪 35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5.掌握团队在应用研究中需要的技术，在站期间由本人完成实验室的一定工作，能帮助团队解决一些关键性的问题，年薪 25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二、基础研究类（关于期刊分类，详询党办人事处张老师）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1.以第一作者或共同第一作者在N</w:t>
      </w:r>
      <w:r>
        <w:rPr>
          <w:rFonts w:ascii="仿宋_GB2312" w:hAnsi="Times New Roman" w:eastAsia="仿宋_GB2312"/>
          <w:kern w:val="2"/>
          <w:sz w:val="30"/>
          <w:szCs w:val="30"/>
        </w:rPr>
        <w:t>at Commun/PNAS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等同级别或以上级别期刊发表研究性论文1篇，年薪 60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2.以第一作者（共一须排第一）分别在</w:t>
      </w:r>
      <w:r>
        <w:rPr>
          <w:rFonts w:ascii="仿宋_GB2312" w:hAnsi="Times New Roman" w:eastAsia="仿宋_GB2312"/>
          <w:kern w:val="2"/>
          <w:sz w:val="30"/>
          <w:szCs w:val="30"/>
        </w:rPr>
        <w:t>PLoS Pathogens/mBio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等同级别期刊和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等同级别期刊上各发表研究性论文1篇，年薪 50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3.以第一作者（共一须排第一）在</w:t>
      </w:r>
      <w:r>
        <w:rPr>
          <w:rFonts w:ascii="仿宋_GB2312" w:hAnsi="Times New Roman" w:eastAsia="仿宋_GB2312"/>
          <w:kern w:val="2"/>
          <w:sz w:val="30"/>
          <w:szCs w:val="30"/>
        </w:rPr>
        <w:t>PLoS Pathogens/mBio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等同级别期刊发表研究性论文 1 篇；或在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等同级别期刊上发表研究性论文2篇，年薪 45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4.以第一作者（共一须排第一）在</w:t>
      </w:r>
      <w:r>
        <w:rPr>
          <w:rFonts w:ascii="仿宋_GB2312" w:hAnsi="Times New Roman" w:eastAsia="仿宋_GB2312"/>
          <w:kern w:val="2"/>
          <w:sz w:val="30"/>
          <w:szCs w:val="30"/>
        </w:rPr>
        <w:t>J Virol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等同级别期刊上发表研究性论文1篇,或分别在Vaccine</w:t>
      </w:r>
      <w:r>
        <w:rPr>
          <w:rFonts w:ascii="仿宋_GB2312" w:hAnsi="Times New Roman" w:eastAsia="仿宋_GB2312"/>
          <w:kern w:val="2"/>
          <w:sz w:val="30"/>
          <w:szCs w:val="30"/>
        </w:rPr>
        <w:t>/V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et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Res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等同级别期刊和Vet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J/V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irol</w:t>
      </w:r>
      <w:r>
        <w:rPr>
          <w:rFonts w:ascii="仿宋_GB2312" w:hAnsi="Times New Roman" w:eastAsia="仿宋_GB2312"/>
          <w:kern w:val="2"/>
          <w:sz w:val="30"/>
          <w:szCs w:val="30"/>
        </w:rPr>
        <w:t xml:space="preserve"> J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等同级别期刊发表研究性论文至少各 1 篇，年薪 35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5.符合进站基本条件,年薪 25 万元。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三、在站时间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博士后在站时间一般为2年，满2年进行支持期满考核，考核优秀的，根据工作需要可延长1-2年，在站时间累计不超过4年。</w:t>
      </w:r>
    </w:p>
    <w:p>
      <w:pPr>
        <w:pStyle w:val="2"/>
        <w:adjustRightInd w:val="0"/>
        <w:snapToGrid w:val="0"/>
        <w:spacing w:beforeAutospacing="0" w:afterAutospacing="0" w:line="5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B3444"/>
    <w:rsid w:val="62FB3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2022-06-11T02:59:00Z</dcterms:created>
  <dc:creator>Administrator</dc:creator>
  <cp:lastModifiedBy>Administrator</cp:lastModifiedBy>
  <dcterms:modified xsi:type="dcterms:W3CDTF">2022-06-11T03:00:09Z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A5B79E0EAAFE4FE6AB3FF769EFB863C4</vt:lpwstr>
  </property>
</Properties>
</file>